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2062" w14:textId="77777777" w:rsidR="00E40DCE" w:rsidRPr="00E40DCE" w:rsidRDefault="00E40DCE" w:rsidP="00E40DCE">
      <w:pPr>
        <w:jc w:val="center"/>
        <w:rPr>
          <w:sz w:val="24"/>
          <w:szCs w:val="24"/>
        </w:rPr>
      </w:pPr>
      <w:r w:rsidRPr="00E40DCE">
        <w:rPr>
          <w:b/>
          <w:bCs/>
          <w:sz w:val="24"/>
          <w:szCs w:val="24"/>
        </w:rPr>
        <w:t>Mobility pedagogických zamestnancov</w:t>
      </w:r>
    </w:p>
    <w:p w14:paraId="1E801FDA" w14:textId="77777777" w:rsidR="00E40DCE" w:rsidRPr="00E40DCE" w:rsidRDefault="00E40DCE" w:rsidP="00E40DCE">
      <w:r w:rsidRPr="00E40DCE">
        <w:t>Pedagogickí zamestnanci sa môžu zapojiť do nasledujúcich typov mobilít:</w:t>
      </w:r>
    </w:p>
    <w:p w14:paraId="64279197" w14:textId="77777777" w:rsidR="00E40DCE" w:rsidRPr="00E40DCE" w:rsidRDefault="00E40DCE" w:rsidP="00E40DCE">
      <w:r w:rsidRPr="00E40DCE">
        <w:rPr>
          <w:b/>
          <w:bCs/>
        </w:rPr>
        <w:t>1. Mobilita za účelom výučby (STA)</w:t>
      </w:r>
    </w:p>
    <w:p w14:paraId="5D0938DA" w14:textId="77777777" w:rsidR="00E40DCE" w:rsidRPr="00E40DCE" w:rsidRDefault="00E40DCE" w:rsidP="00E40DCE">
      <w:pPr>
        <w:numPr>
          <w:ilvl w:val="0"/>
          <w:numId w:val="1"/>
        </w:numPr>
      </w:pPr>
      <w:r w:rsidRPr="00E40DCE">
        <w:t>Cieľom mobility je realizácia výučby na prijímajúcej inštitúcii.</w:t>
      </w:r>
    </w:p>
    <w:p w14:paraId="45D6EBB8" w14:textId="77777777" w:rsidR="00E40DCE" w:rsidRPr="00E40DCE" w:rsidRDefault="00E40DCE" w:rsidP="00E40DCE">
      <w:pPr>
        <w:numPr>
          <w:ilvl w:val="0"/>
          <w:numId w:val="1"/>
        </w:numPr>
      </w:pPr>
      <w:r w:rsidRPr="00E40DCE">
        <w:t>Minimálny počet odučených hodín: 8.</w:t>
      </w:r>
    </w:p>
    <w:p w14:paraId="611DDA98" w14:textId="77777777" w:rsidR="00E40DCE" w:rsidRPr="00E40DCE" w:rsidRDefault="00E40DCE" w:rsidP="00E40DCE">
      <w:pPr>
        <w:numPr>
          <w:ilvl w:val="0"/>
          <w:numId w:val="1"/>
        </w:numPr>
      </w:pPr>
      <w:r w:rsidRPr="00E40DCE">
        <w:t>Trvanie mobility v súlade s pravidlami Európskej komisie: 2 – 60 dní.</w:t>
      </w:r>
    </w:p>
    <w:p w14:paraId="5157D082" w14:textId="77777777" w:rsidR="00E40DCE" w:rsidRPr="00E40DCE" w:rsidRDefault="00E40DCE" w:rsidP="00E40DCE">
      <w:pPr>
        <w:numPr>
          <w:ilvl w:val="0"/>
          <w:numId w:val="1"/>
        </w:numPr>
      </w:pPr>
      <w:r w:rsidRPr="00E40DCE">
        <w:t>Predbežný plánovaný počet dní mobility:</w:t>
      </w:r>
    </w:p>
    <w:p w14:paraId="30E6FC85" w14:textId="77777777" w:rsidR="00E40DCE" w:rsidRPr="00E40DCE" w:rsidRDefault="00E40DCE" w:rsidP="00E40DCE">
      <w:pPr>
        <w:numPr>
          <w:ilvl w:val="1"/>
          <w:numId w:val="7"/>
        </w:numPr>
      </w:pPr>
      <w:r w:rsidRPr="00E40DCE">
        <w:t>Česká republika: 4 dni</w:t>
      </w:r>
    </w:p>
    <w:p w14:paraId="2872465F" w14:textId="77777777" w:rsidR="00E40DCE" w:rsidRPr="00E40DCE" w:rsidRDefault="00E40DCE" w:rsidP="00E40DCE">
      <w:pPr>
        <w:numPr>
          <w:ilvl w:val="1"/>
          <w:numId w:val="7"/>
        </w:numPr>
      </w:pPr>
      <w:r w:rsidRPr="00E40DCE">
        <w:t>Poľsko, Maďarsko: 5 dní</w:t>
      </w:r>
    </w:p>
    <w:p w14:paraId="43026C00" w14:textId="77777777" w:rsidR="00E40DCE" w:rsidRPr="00E40DCE" w:rsidRDefault="00E40DCE" w:rsidP="00E40DCE">
      <w:pPr>
        <w:numPr>
          <w:ilvl w:val="1"/>
          <w:numId w:val="7"/>
        </w:numPr>
      </w:pPr>
      <w:r w:rsidRPr="00E40DCE">
        <w:t>ostatné krajiny: 6 dní</w:t>
      </w:r>
    </w:p>
    <w:p w14:paraId="4EF60C66" w14:textId="77777777" w:rsidR="00E40DCE" w:rsidRPr="00E40DCE" w:rsidRDefault="00E40DCE" w:rsidP="00E40DCE">
      <w:pPr>
        <w:numPr>
          <w:ilvl w:val="0"/>
          <w:numId w:val="1"/>
        </w:numPr>
      </w:pPr>
      <w:r w:rsidRPr="00E40DCE">
        <w:t>O pridelení grantu na individuálnu podporu presahujúcu 6 dní rozhoduje inštitucionálny koordinátor programu Erasmus+ na základe písomného zdôvodnenia a odporúčania fakultného koordinátora alebo vedúceho pracoviska.</w:t>
      </w:r>
    </w:p>
    <w:p w14:paraId="50467B12" w14:textId="77777777" w:rsidR="00E40DCE" w:rsidRPr="00E40DCE" w:rsidRDefault="00E40DCE" w:rsidP="00E40DCE">
      <w:pPr>
        <w:numPr>
          <w:ilvl w:val="0"/>
          <w:numId w:val="1"/>
        </w:numPr>
        <w:rPr>
          <w:color w:val="215E99" w:themeColor="text2" w:themeTint="BF"/>
        </w:rPr>
      </w:pPr>
      <w:r w:rsidRPr="00E40DCE">
        <w:t>Grant na cestovné výdavky sa určuje podľa vzdialenosti medzi vysielajúcou a prijímajúcou inštitúciou prostredníctvom kalkulačky vzdialeností:</w:t>
      </w:r>
      <w:r w:rsidRPr="00E40DCE">
        <w:br/>
      </w:r>
      <w:hyperlink r:id="rId5" w:history="1">
        <w:r w:rsidRPr="00E40DCE">
          <w:rPr>
            <w:rStyle w:val="Hypertextovprepojenie"/>
            <w:color w:val="215E99" w:themeColor="text2" w:themeTint="BF"/>
          </w:rPr>
          <w:t>https://ec.europa.eu/programmes/erasmus-plus/resources/distance-calculator_en</w:t>
        </w:r>
      </w:hyperlink>
    </w:p>
    <w:p w14:paraId="16B12741" w14:textId="77777777" w:rsidR="00E40DCE" w:rsidRPr="00E40DCE" w:rsidRDefault="00E40DCE" w:rsidP="00E40DCE">
      <w:r w:rsidRPr="00E40DCE">
        <w:rPr>
          <w:b/>
          <w:bCs/>
        </w:rPr>
        <w:t>2. Kombinovaná mobilita za účelom výučby a školenia</w:t>
      </w:r>
    </w:p>
    <w:p w14:paraId="253BA3BC" w14:textId="77777777" w:rsidR="00E40DCE" w:rsidRPr="00E40DCE" w:rsidRDefault="00E40DCE" w:rsidP="00E40DCE">
      <w:pPr>
        <w:numPr>
          <w:ilvl w:val="0"/>
          <w:numId w:val="2"/>
        </w:numPr>
      </w:pPr>
      <w:r w:rsidRPr="00E40DCE">
        <w:t>Cieľom mobility je realizácia výučby a zároveň odborné školenie zamerané na rozvoj pedagogických kompetencií a/alebo tvorbu študijných programov.</w:t>
      </w:r>
    </w:p>
    <w:p w14:paraId="7C0522D5" w14:textId="77777777" w:rsidR="00E40DCE" w:rsidRPr="00E40DCE" w:rsidRDefault="00E40DCE" w:rsidP="00E40DCE">
      <w:pPr>
        <w:numPr>
          <w:ilvl w:val="0"/>
          <w:numId w:val="2"/>
        </w:numPr>
      </w:pPr>
      <w:r w:rsidRPr="00E40DCE">
        <w:t>Minimálny počet odučených hodín: 4.</w:t>
      </w:r>
    </w:p>
    <w:p w14:paraId="6C1646C7" w14:textId="77777777" w:rsidR="00E40DCE" w:rsidRPr="00E40DCE" w:rsidRDefault="00E40DCE" w:rsidP="00E40DCE">
      <w:pPr>
        <w:numPr>
          <w:ilvl w:val="0"/>
          <w:numId w:val="2"/>
        </w:numPr>
      </w:pPr>
      <w:r w:rsidRPr="00E40DCE">
        <w:t>Trvanie mobility v súlade s pravidlami Európskej komisie: 2 – 60 dní.</w:t>
      </w:r>
    </w:p>
    <w:p w14:paraId="2DA634CF" w14:textId="77777777" w:rsidR="00E40DCE" w:rsidRPr="00E40DCE" w:rsidRDefault="00E40DCE" w:rsidP="00E40DCE">
      <w:pPr>
        <w:numPr>
          <w:ilvl w:val="0"/>
          <w:numId w:val="2"/>
        </w:numPr>
      </w:pPr>
      <w:r w:rsidRPr="00E40DCE">
        <w:t>Predbežný plánovaný počet dní mobility:</w:t>
      </w:r>
    </w:p>
    <w:p w14:paraId="5C44AE0F" w14:textId="77777777" w:rsidR="00E40DCE" w:rsidRPr="00E40DCE" w:rsidRDefault="00E40DCE" w:rsidP="00E40DCE">
      <w:pPr>
        <w:numPr>
          <w:ilvl w:val="1"/>
          <w:numId w:val="8"/>
        </w:numPr>
      </w:pPr>
      <w:r w:rsidRPr="00E40DCE">
        <w:t>Česká republika: 4 dni</w:t>
      </w:r>
    </w:p>
    <w:p w14:paraId="51D64C84" w14:textId="77777777" w:rsidR="00E40DCE" w:rsidRPr="00E40DCE" w:rsidRDefault="00E40DCE" w:rsidP="00E40DCE">
      <w:pPr>
        <w:numPr>
          <w:ilvl w:val="1"/>
          <w:numId w:val="8"/>
        </w:numPr>
      </w:pPr>
      <w:r w:rsidRPr="00E40DCE">
        <w:t>Poľsko, Maďarsko: 5 dní</w:t>
      </w:r>
    </w:p>
    <w:p w14:paraId="25424057" w14:textId="77777777" w:rsidR="00E40DCE" w:rsidRPr="00E40DCE" w:rsidRDefault="00E40DCE" w:rsidP="00E40DCE">
      <w:pPr>
        <w:numPr>
          <w:ilvl w:val="1"/>
          <w:numId w:val="8"/>
        </w:numPr>
      </w:pPr>
      <w:r w:rsidRPr="00E40DCE">
        <w:t>ostatné krajiny: 6 dní</w:t>
      </w:r>
    </w:p>
    <w:p w14:paraId="79AB2205" w14:textId="77777777" w:rsidR="00E40DCE" w:rsidRPr="00E40DCE" w:rsidRDefault="00E40DCE" w:rsidP="00E40DCE">
      <w:pPr>
        <w:numPr>
          <w:ilvl w:val="0"/>
          <w:numId w:val="2"/>
        </w:numPr>
      </w:pPr>
      <w:r w:rsidRPr="00E40DCE">
        <w:t>O pridelení grantu na individuálnu podporu presahujúcu 6 dní rozhoduje inštitucionálny koordinátor programu Erasmus+ na základe písomného zdôvodnenia a odporúčania fakultného koordinátora alebo vedúceho pracoviska.</w:t>
      </w:r>
    </w:p>
    <w:p w14:paraId="3545008B" w14:textId="77777777" w:rsidR="00E40DCE" w:rsidRPr="00E40DCE" w:rsidRDefault="00E40DCE" w:rsidP="00E40DCE">
      <w:pPr>
        <w:numPr>
          <w:ilvl w:val="0"/>
          <w:numId w:val="2"/>
        </w:numPr>
      </w:pPr>
      <w:r w:rsidRPr="00E40DCE">
        <w:t>Grant na cestovné výdavky sa určuje podľa vzdialenosti medzi vysielajúcou a prijímajúcou inštitúciou prostredníctvom kalkulačky vzdialeností:</w:t>
      </w:r>
      <w:r w:rsidRPr="00E40DCE">
        <w:br/>
      </w:r>
      <w:hyperlink r:id="rId6" w:history="1">
        <w:r w:rsidRPr="00E40DCE">
          <w:rPr>
            <w:rStyle w:val="Hypertextovprepojenie"/>
            <w:color w:val="auto"/>
          </w:rPr>
          <w:t>https://ec.europa.eu/programmes/erasmus-plus/resources/distance-calculator_en</w:t>
        </w:r>
      </w:hyperlink>
    </w:p>
    <w:p w14:paraId="3A84E8D8" w14:textId="77777777" w:rsidR="00E40DCE" w:rsidRPr="00E40DCE" w:rsidRDefault="00E40DCE" w:rsidP="00E40DCE">
      <w:pPr>
        <w:rPr>
          <w:lang w:val="en-GB"/>
        </w:rPr>
      </w:pPr>
      <w:r w:rsidRPr="00E40DCE">
        <w:rPr>
          <w:b/>
          <w:bCs/>
        </w:rPr>
        <w:t xml:space="preserve">Zmiešaný intenzívny program </w:t>
      </w:r>
      <w:r w:rsidRPr="00E40DCE">
        <w:rPr>
          <w:b/>
          <w:bCs/>
          <w:lang w:val="en-GB"/>
        </w:rPr>
        <w:t>(Blended Intensive Programme – BIP)</w:t>
      </w:r>
    </w:p>
    <w:p w14:paraId="17E58AA7" w14:textId="77777777" w:rsidR="00E40DCE" w:rsidRPr="00E40DCE" w:rsidRDefault="00E40DCE" w:rsidP="00E40DCE">
      <w:pPr>
        <w:numPr>
          <w:ilvl w:val="0"/>
          <w:numId w:val="3"/>
        </w:numPr>
      </w:pPr>
      <w:r w:rsidRPr="00E40DCE">
        <w:t>Cieľom programu je podporovať implementáciu inovatívnych prístupov vo výučbe a učení, vrátane využívania online spolupráce. Program je realizovaný kombinovanou formou, ktorá pozostáva z krátkodobej fyzickej mobility a virtuálnej časti.</w:t>
      </w:r>
    </w:p>
    <w:p w14:paraId="5C04D686" w14:textId="77777777" w:rsidR="00E40DCE" w:rsidRPr="00E40DCE" w:rsidRDefault="00E40DCE" w:rsidP="00E40DCE">
      <w:pPr>
        <w:numPr>
          <w:ilvl w:val="0"/>
          <w:numId w:val="3"/>
        </w:numPr>
      </w:pPr>
      <w:r w:rsidRPr="00E40DCE">
        <w:lastRenderedPageBreak/>
        <w:t xml:space="preserve">Účastníkmi programu môžu byť aj pedagogickí zamestnanci, ktorí sa BIP zúčastňujú </w:t>
      </w:r>
      <w:r w:rsidRPr="00E40DCE">
        <w:rPr>
          <w:b/>
          <w:bCs/>
        </w:rPr>
        <w:t>za účelom vzdelávania v pozícii „učiacich sa“.</w:t>
      </w:r>
      <w:r w:rsidRPr="00E40DCE">
        <w:t xml:space="preserve"> Na tieto mobility sa primerane vzťahujú pravidlá platné pre mobilitu typu školenie (STT). Prihlasovanie pedagogických zamestnancov na mobilitu „BIP – školenie“ sa realizuje prostredníctvom pani Ing. </w:t>
      </w:r>
      <w:proofErr w:type="spellStart"/>
      <w:r w:rsidRPr="00E40DCE">
        <w:t>Labantovej</w:t>
      </w:r>
      <w:proofErr w:type="spellEnd"/>
      <w:r w:rsidRPr="00E40DCE">
        <w:t>.</w:t>
      </w:r>
    </w:p>
    <w:p w14:paraId="40A6B2D0" w14:textId="77777777" w:rsidR="00E40DCE" w:rsidRPr="00E40DCE" w:rsidRDefault="00E40DCE" w:rsidP="00E40DCE">
      <w:pPr>
        <w:numPr>
          <w:ilvl w:val="0"/>
          <w:numId w:val="3"/>
        </w:numPr>
      </w:pPr>
      <w:r w:rsidRPr="00E40DCE">
        <w:t xml:space="preserve">Pedagogickí zamestnanci sa môžu zúčastniť BIP aj </w:t>
      </w:r>
      <w:r w:rsidRPr="00E40DCE">
        <w:rPr>
          <w:b/>
          <w:bCs/>
        </w:rPr>
        <w:t>za účelom realizácie výučby</w:t>
      </w:r>
      <w:r w:rsidRPr="00E40DCE">
        <w:t xml:space="preserve"> v rámci mobility typu výučba (STA), pričom sa na tieto mobility primerane vzťahujú pravidlá upravujúce mobilitu typu výučba.</w:t>
      </w:r>
    </w:p>
    <w:p w14:paraId="2565F11E" w14:textId="77777777" w:rsidR="00E40DCE" w:rsidRPr="00E40DCE" w:rsidRDefault="00E40DCE" w:rsidP="00E40DCE">
      <w:r w:rsidRPr="00E40DCE">
        <w:rPr>
          <w:b/>
          <w:bCs/>
        </w:rPr>
        <w:t>3. Účastníci mobilít</w:t>
      </w:r>
    </w:p>
    <w:p w14:paraId="52DFD33B" w14:textId="77777777" w:rsidR="00E40DCE" w:rsidRPr="00E40DCE" w:rsidRDefault="00E40DCE" w:rsidP="00E40DCE">
      <w:pPr>
        <w:numPr>
          <w:ilvl w:val="0"/>
          <w:numId w:val="4"/>
        </w:numPr>
      </w:pPr>
      <w:r w:rsidRPr="00E40DCE">
        <w:t xml:space="preserve">Mobilít sa môžu zúčastniť </w:t>
      </w:r>
      <w:r w:rsidRPr="00E40DCE">
        <w:rPr>
          <w:b/>
          <w:bCs/>
        </w:rPr>
        <w:t>výlučne pedagogickí zamestnanci</w:t>
      </w:r>
      <w:r w:rsidRPr="00E40DCE">
        <w:t xml:space="preserve"> v pracovnoprávnom vzťahu s UNIZA na plný pracovný úväzok (ustanovený týždenný pracovný čas).</w:t>
      </w:r>
    </w:p>
    <w:p w14:paraId="6FB75546" w14:textId="77777777" w:rsidR="00E40DCE" w:rsidRPr="00E25AF0" w:rsidRDefault="00E40DCE" w:rsidP="00E40DCE">
      <w:pPr>
        <w:numPr>
          <w:ilvl w:val="0"/>
          <w:numId w:val="4"/>
        </w:numPr>
      </w:pPr>
      <w:r w:rsidRPr="00E25AF0">
        <w:t xml:space="preserve">Mobility plánované na mesiac </w:t>
      </w:r>
      <w:r w:rsidRPr="00E25AF0">
        <w:rPr>
          <w:b/>
          <w:bCs/>
        </w:rPr>
        <w:t xml:space="preserve">december </w:t>
      </w:r>
      <w:r w:rsidRPr="00E25AF0">
        <w:t xml:space="preserve">je možné realizovať </w:t>
      </w:r>
      <w:r w:rsidRPr="00E25AF0">
        <w:rPr>
          <w:b/>
          <w:bCs/>
        </w:rPr>
        <w:t>výlučne v prvom týždni mesiaca</w:t>
      </w:r>
      <w:r w:rsidRPr="00E25AF0">
        <w:t xml:space="preserve"> z dôvodu zabezpečenia riadneho a včasného záverečného zúčtovania kalendárneho roka.</w:t>
      </w:r>
    </w:p>
    <w:p w14:paraId="682DFE5B" w14:textId="77777777" w:rsidR="00E40DCE" w:rsidRPr="00E40DCE" w:rsidRDefault="00E40DCE" w:rsidP="00E40DCE">
      <w:r w:rsidRPr="00E40DCE">
        <w:rPr>
          <w:b/>
          <w:bCs/>
        </w:rPr>
        <w:t>4. Aliancia PIONEER</w:t>
      </w:r>
    </w:p>
    <w:p w14:paraId="4783DC99" w14:textId="064D06C2" w:rsidR="00E40DCE" w:rsidRPr="00E40DCE" w:rsidRDefault="00E40DCE" w:rsidP="00E40DCE">
      <w:pPr>
        <w:numPr>
          <w:ilvl w:val="0"/>
          <w:numId w:val="5"/>
        </w:numPr>
        <w:rPr>
          <w:lang w:val="en-GB"/>
        </w:rPr>
      </w:pPr>
      <w:r w:rsidRPr="00E40DCE">
        <w:t>UNIZA je aktívnym členom aliancie PIONEER; z uvedeného dôvodu budú preferované mobility realizované na partnerských inštitúciách aliancie:</w:t>
      </w:r>
      <w:r w:rsidRPr="00E40DCE">
        <w:br/>
      </w:r>
      <w:r w:rsidRPr="00E40DCE">
        <w:rPr>
          <w:lang w:val="en-GB"/>
        </w:rPr>
        <w:t>University of Gustave Eiffel (FR), Avans University of Applied Sciences (NL), ISCTE – University Institute of Lisbon (PT), Laurea University of Applied Sciences (FI), TH Köln – University of Applied Sciences (DE), Huelva University (ES), IUAV – Università IUAV di Venezia (IT), UTB – Tomas Bata University in Zlín (CZ).</w:t>
      </w:r>
    </w:p>
    <w:p w14:paraId="6B1E41F4" w14:textId="77777777" w:rsidR="00E40DCE" w:rsidRPr="00E40DCE" w:rsidRDefault="00E40DCE" w:rsidP="00E40DCE">
      <w:r w:rsidRPr="00E40DCE">
        <w:rPr>
          <w:b/>
          <w:bCs/>
        </w:rPr>
        <w:t>5. Podmienky realizácie mobilít</w:t>
      </w:r>
    </w:p>
    <w:p w14:paraId="02D52FA5" w14:textId="16DAC98B" w:rsidR="00E40DCE" w:rsidRPr="00E40DCE" w:rsidRDefault="00E40DCE" w:rsidP="00E40DCE">
      <w:pPr>
        <w:numPr>
          <w:ilvl w:val="0"/>
          <w:numId w:val="6"/>
        </w:numPr>
      </w:pPr>
      <w:r w:rsidRPr="00E40DCE">
        <w:t>Podmienkou realizácie mobility je existencia platnej medzi- inštitucionálnej dohody medzi UNIZA a prijímajúcou inštitúciou.</w:t>
      </w:r>
    </w:p>
    <w:p w14:paraId="4791861D" w14:textId="77777777" w:rsidR="00E40DCE" w:rsidRPr="00E40DCE" w:rsidRDefault="00E40DCE" w:rsidP="00E40DCE">
      <w:pPr>
        <w:numPr>
          <w:ilvl w:val="0"/>
          <w:numId w:val="6"/>
        </w:numPr>
      </w:pPr>
      <w:r w:rsidRPr="00E40DCE">
        <w:t>V prípade plánovania viacerých mobilít sa odporúča ich rovnomerné rozdelenie medzi jednotlivé semestre akademického roka.</w:t>
      </w:r>
    </w:p>
    <w:p w14:paraId="169DE695" w14:textId="77777777" w:rsidR="00E40DCE" w:rsidRPr="00E40DCE" w:rsidRDefault="00E40DCE" w:rsidP="00E40DCE">
      <w:r w:rsidRPr="00E40DCE">
        <w:rPr>
          <w:b/>
          <w:bCs/>
        </w:rPr>
        <w:t>6. Oprávnené krajiny realizácie mobilít</w:t>
      </w:r>
      <w:r w:rsidRPr="00E40DCE">
        <w:br/>
        <w:t>Mobility je možné realizovať v programových krajinách: Belgicko, Bulharsko, Cyprus, Česká republika, Dánsko, Estónsko, Fínsko, Francúzsko, Grécko, Holandsko, Chorvátsko, Írsko, Island, Lichtenštajnsko, Litva, Lotyšsko, Luxembursko, Severné Macedónsko, Maďarsko, Malta, Nemecko, Nórsko, Poľsko, Portugalsko, Rakúsko, Rumunsko, Slovinsko, Španielsko, Švédsko, Taliansko, Turecko, Srbsko.</w:t>
      </w:r>
    </w:p>
    <w:p w14:paraId="6BF86018" w14:textId="77777777" w:rsidR="00E40DCE" w:rsidRPr="00E40DCE" w:rsidRDefault="00E40DCE" w:rsidP="00E40DCE"/>
    <w:p w14:paraId="5FF87733" w14:textId="6B385A98" w:rsidR="00E40DCE" w:rsidRPr="00E40DCE" w:rsidRDefault="00E40DCE" w:rsidP="00E40DCE">
      <w:r w:rsidRPr="00E40DCE">
        <w:t>V Žiline, dňa 17. 04. 2026</w:t>
      </w:r>
    </w:p>
    <w:p w14:paraId="16786355" w14:textId="77777777" w:rsidR="008F1547" w:rsidRPr="00E40DCE" w:rsidRDefault="008F1547"/>
    <w:sectPr w:rsidR="008F1547" w:rsidRPr="00E40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20E8"/>
    <w:multiLevelType w:val="multilevel"/>
    <w:tmpl w:val="78B4E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30432"/>
    <w:multiLevelType w:val="multilevel"/>
    <w:tmpl w:val="51D0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A56C5"/>
    <w:multiLevelType w:val="multilevel"/>
    <w:tmpl w:val="FE5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424EA"/>
    <w:multiLevelType w:val="multilevel"/>
    <w:tmpl w:val="BC385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06216"/>
    <w:multiLevelType w:val="multilevel"/>
    <w:tmpl w:val="65A0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D530D"/>
    <w:multiLevelType w:val="multilevel"/>
    <w:tmpl w:val="BC84A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330944"/>
    <w:multiLevelType w:val="multilevel"/>
    <w:tmpl w:val="4524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74E75"/>
    <w:multiLevelType w:val="multilevel"/>
    <w:tmpl w:val="5D727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903817">
    <w:abstractNumId w:val="3"/>
  </w:num>
  <w:num w:numId="2" w16cid:durableId="1038823012">
    <w:abstractNumId w:val="7"/>
  </w:num>
  <w:num w:numId="3" w16cid:durableId="941762203">
    <w:abstractNumId w:val="6"/>
  </w:num>
  <w:num w:numId="4" w16cid:durableId="176316747">
    <w:abstractNumId w:val="1"/>
  </w:num>
  <w:num w:numId="5" w16cid:durableId="771128059">
    <w:abstractNumId w:val="2"/>
  </w:num>
  <w:num w:numId="6" w16cid:durableId="1594898189">
    <w:abstractNumId w:val="4"/>
  </w:num>
  <w:num w:numId="7" w16cid:durableId="1657800859">
    <w:abstractNumId w:val="5"/>
  </w:num>
  <w:num w:numId="8" w16cid:durableId="77228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CE"/>
    <w:rsid w:val="002106CF"/>
    <w:rsid w:val="0032063C"/>
    <w:rsid w:val="00614015"/>
    <w:rsid w:val="006A5C13"/>
    <w:rsid w:val="008F1547"/>
    <w:rsid w:val="00E25AF0"/>
    <w:rsid w:val="00E40DCE"/>
    <w:rsid w:val="00E8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A6FF"/>
  <w15:chartTrackingRefBased/>
  <w15:docId w15:val="{904F1D69-8220-4436-98D9-6D9F1B85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40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40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40DC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40DC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40DC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40DC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40DC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40DC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40DC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40DC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40DC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40DC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40DC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40DC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40DC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40DC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40DC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40DCE"/>
    <w:rPr>
      <w:rFonts w:eastAsiaTheme="majorEastAsia" w:cstheme="majorBidi"/>
      <w:color w:val="272727" w:themeColor="text1" w:themeTint="D8"/>
    </w:rPr>
  </w:style>
  <w:style w:type="paragraph" w:styleId="Nzov">
    <w:name w:val="Title"/>
    <w:basedOn w:val="Normlny"/>
    <w:next w:val="Normlny"/>
    <w:link w:val="NzovChar"/>
    <w:uiPriority w:val="10"/>
    <w:qFormat/>
    <w:rsid w:val="00E40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40DC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40DC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40DC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40DC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40DCE"/>
    <w:rPr>
      <w:i/>
      <w:iCs/>
      <w:color w:val="404040" w:themeColor="text1" w:themeTint="BF"/>
    </w:rPr>
  </w:style>
  <w:style w:type="paragraph" w:styleId="Odsekzoznamu">
    <w:name w:val="List Paragraph"/>
    <w:basedOn w:val="Normlny"/>
    <w:uiPriority w:val="34"/>
    <w:qFormat/>
    <w:rsid w:val="00E40DCE"/>
    <w:pPr>
      <w:ind w:left="720"/>
      <w:contextualSpacing/>
    </w:pPr>
  </w:style>
  <w:style w:type="character" w:styleId="Intenzvnezvraznenie">
    <w:name w:val="Intense Emphasis"/>
    <w:basedOn w:val="Predvolenpsmoodseku"/>
    <w:uiPriority w:val="21"/>
    <w:qFormat/>
    <w:rsid w:val="00E40DCE"/>
    <w:rPr>
      <w:i/>
      <w:iCs/>
      <w:color w:val="0F4761" w:themeColor="accent1" w:themeShade="BF"/>
    </w:rPr>
  </w:style>
  <w:style w:type="paragraph" w:styleId="Zvraznencitcia">
    <w:name w:val="Intense Quote"/>
    <w:basedOn w:val="Normlny"/>
    <w:next w:val="Normlny"/>
    <w:link w:val="ZvraznencitciaChar"/>
    <w:uiPriority w:val="30"/>
    <w:qFormat/>
    <w:rsid w:val="00E40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40DCE"/>
    <w:rPr>
      <w:i/>
      <w:iCs/>
      <w:color w:val="0F4761" w:themeColor="accent1" w:themeShade="BF"/>
    </w:rPr>
  </w:style>
  <w:style w:type="character" w:styleId="Zvraznenodkaz">
    <w:name w:val="Intense Reference"/>
    <w:basedOn w:val="Predvolenpsmoodseku"/>
    <w:uiPriority w:val="32"/>
    <w:qFormat/>
    <w:rsid w:val="00E40DCE"/>
    <w:rPr>
      <w:b/>
      <w:bCs/>
      <w:smallCaps/>
      <w:color w:val="0F4761" w:themeColor="accent1" w:themeShade="BF"/>
      <w:spacing w:val="5"/>
    </w:rPr>
  </w:style>
  <w:style w:type="character" w:styleId="Hypertextovprepojenie">
    <w:name w:val="Hyperlink"/>
    <w:basedOn w:val="Predvolenpsmoodseku"/>
    <w:uiPriority w:val="99"/>
    <w:unhideWhenUsed/>
    <w:rsid w:val="00E40DCE"/>
    <w:rPr>
      <w:color w:val="467886" w:themeColor="hyperlink"/>
      <w:u w:val="single"/>
    </w:rPr>
  </w:style>
  <w:style w:type="character" w:styleId="Nevyrieenzmienka">
    <w:name w:val="Unresolved Mention"/>
    <w:basedOn w:val="Predvolenpsmoodseku"/>
    <w:uiPriority w:val="99"/>
    <w:semiHidden/>
    <w:unhideWhenUsed/>
    <w:rsid w:val="00E40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programmes/erasmus-plus/resources/distance-calculator_en" TargetMode="External"/><Relationship Id="rId5" Type="http://schemas.openxmlformats.org/officeDocument/2006/relationships/hyperlink" Target="https://ec.europa.eu/programmes/erasmus-plus/resources/distance-calculator_en"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Klačanská</dc:creator>
  <cp:keywords/>
  <dc:description/>
  <cp:lastModifiedBy>Daniela Klačanská</cp:lastModifiedBy>
  <cp:revision>5</cp:revision>
  <dcterms:created xsi:type="dcterms:W3CDTF">2026-04-17T12:48:00Z</dcterms:created>
  <dcterms:modified xsi:type="dcterms:W3CDTF">2026-04-20T07:38:00Z</dcterms:modified>
</cp:coreProperties>
</file>